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6649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66490" w:rsidRDefault="006109D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66490" w:rsidRDefault="006109DD">
            <w:pPr>
              <w:spacing w:after="0" w:line="240" w:lineRule="auto"/>
            </w:pPr>
            <w:r>
              <w:t>3316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66490" w:rsidRDefault="006109D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66490" w:rsidRDefault="006109DD">
            <w:pPr>
              <w:spacing w:after="0" w:line="240" w:lineRule="auto"/>
            </w:pPr>
            <w:r>
              <w:t>ZATVOR U ŠIBENIKU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66490" w:rsidRDefault="006109D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66490" w:rsidRDefault="006109DD">
            <w:pPr>
              <w:spacing w:after="0" w:line="240" w:lineRule="auto"/>
            </w:pPr>
            <w:r>
              <w:t>11</w:t>
            </w:r>
          </w:p>
        </w:tc>
      </w:tr>
    </w:tbl>
    <w:p w:rsidR="00E66490" w:rsidRDefault="006109DD">
      <w:r>
        <w:br/>
      </w:r>
    </w:p>
    <w:p w:rsidR="00E66490" w:rsidRDefault="006109D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66490" w:rsidRDefault="006109D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66490" w:rsidRDefault="006109DD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E66490" w:rsidRDefault="00E66490"/>
    <w:p w:rsidR="00E66490" w:rsidRDefault="006109D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66490" w:rsidRDefault="006109D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664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2.978.984,99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2.999.417,44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100,7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2.903.941,19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3.171.215,12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E664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171.797,68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63.276,06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77.659,35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E664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63.276,06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77.659,35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122,7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E664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E664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249.457,03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E66490" w:rsidRDefault="00E66490">
      <w:pPr>
        <w:spacing w:after="0"/>
      </w:pPr>
    </w:p>
    <w:p w:rsidR="00E66490" w:rsidRDefault="006109DD">
      <w:pPr>
        <w:spacing w:line="240" w:lineRule="auto"/>
        <w:jc w:val="both"/>
      </w:pPr>
      <w:r>
        <w:t>U razdoblju od 1. siječnja do 30. rujna 2025. godine prihodi poslovanja ostvareni su</w:t>
      </w:r>
      <w:r>
        <w:t xml:space="preserve"> u iznosu od 2.999.417,44 €. Najznačajnije povećanje prihoda poslovanja ostvareno je od prihoda za naknade za priređivanje igara na sreću. Najznačajnije smanjenje prihoda poslovanja bilježi se na prihodima od pruženih usluga (prihodi od fotokopiranja, najm</w:t>
      </w:r>
      <w:r>
        <w:t xml:space="preserve">a aparata, </w:t>
      </w:r>
      <w:proofErr w:type="spellStart"/>
      <w:r>
        <w:t>sprovođenja</w:t>
      </w:r>
      <w:proofErr w:type="spellEnd"/>
      <w:r>
        <w:t xml:space="preserve"> zatvorenika). Rashodi poslovanja u razdoblju od 01. siječnja do 30. rujna 2025. godine iznose ukupno 3.171.215,12 €. Najznačajnije povećanje rashoda evidentirano je na rashodima za </w:t>
      </w:r>
      <w:r>
        <w:lastRenderedPageBreak/>
        <w:t>intelektualne i osobne usluge ( ugovori o djelu za l</w:t>
      </w:r>
      <w:r>
        <w:t>iječnike opće prakse, psihijatar, medicinska sestra i medicinski brat ,te upravni referent matice zatvorenika)i na poziciji zdravstvenih usluga radi povećanog broja liječničkih pregleda zatvorenika i liječenje stranaca koji nemaju osigurano zdravstveno osi</w:t>
      </w:r>
      <w:r>
        <w:t>guranje. Povećanje rashoda evidentirano je i na poziciji ostalih usluga(usluge pri registraciji prijevoznih sredstava i ostale usluge prijevoza otpada iz prostorija zatvora, usluge montaže  i sl.) , te na poziciji reprezentacije i stručnog usavršavanja zap</w:t>
      </w:r>
      <w:r>
        <w:t>oslenika(seminari javne nabave i druge stručne izobrazbe zaposlenika). U navedenom razdoblju nema ostvarenih prihoda od prodaje nefinancijske imovine, dok su rashodi za nabavu nefinancijske imovine ostvareni u iznosu 77.659,35 € i odnose se na rashode za n</w:t>
      </w:r>
      <w:r>
        <w:t>abavu uredskog namještaja, polica za arhivu, tv uređaji za zatvoreničke sobe, oprema i uređaji za zatvorsku kuhinju, izrada projekta solarne elektrane, nabava uredskih vrata i vrata za zatvoreničke sobe ,te nove stražarnice. U navedenom razdoblju nije bilo</w:t>
      </w:r>
      <w:r>
        <w:t xml:space="preserve"> ostvarenih primitaka i izdataka od financijske imovine i zaduživanja. U razdoblju od 01. siječnja do 30. rujna 2025. godine ostvaren je manjak prihoda poslovanja u iznosu od 171.797,68 €, manjak prihoda od nefinancijske imovine u iznosu od 77.659,35 € sli</w:t>
      </w:r>
      <w:r>
        <w:t>jedom čega je na kraju izvještajnog razdoblja ostvaren je ukupni manjak prihoda i primitaka u iznosu od 249.457,03 €.</w:t>
      </w:r>
    </w:p>
    <w:p w:rsidR="00E66490" w:rsidRDefault="006109DD">
      <w:r>
        <w:br/>
      </w:r>
    </w:p>
    <w:p w:rsidR="00E66490" w:rsidRDefault="006109D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66490" w:rsidRDefault="006109D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664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664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E664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</w:t>
            </w:r>
            <w:r>
              <w:rPr>
                <w:sz w:val="18"/>
              </w:rPr>
              <w:t>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66490" w:rsidRDefault="006109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66490" w:rsidRDefault="00E66490">
      <w:pPr>
        <w:spacing w:after="0"/>
      </w:pPr>
    </w:p>
    <w:p w:rsidR="00E66490" w:rsidRDefault="006109DD">
      <w:pPr>
        <w:spacing w:line="240" w:lineRule="auto"/>
        <w:jc w:val="both"/>
      </w:pPr>
      <w:r>
        <w:t>Zatvor u Šibeniku nema dospjelih obveza jer se rashodi prate i kontinuirano plaćaju prema datumu dospijeća.</w:t>
      </w:r>
    </w:p>
    <w:p w:rsidR="00E66490" w:rsidRDefault="00E66490"/>
    <w:sectPr w:rsidR="00E6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90"/>
    <w:rsid w:val="006109DD"/>
    <w:rsid w:val="00E6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Kljaić</dc:creator>
  <cp:lastModifiedBy>Marijana Kljaić</cp:lastModifiedBy>
  <cp:revision>2</cp:revision>
  <dcterms:created xsi:type="dcterms:W3CDTF">2025-10-10T09:12:00Z</dcterms:created>
  <dcterms:modified xsi:type="dcterms:W3CDTF">2025-10-10T09:12:00Z</dcterms:modified>
</cp:coreProperties>
</file>